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sz w:val="20"/>
          <w:lang w:val="en-US"/>
        </w:rPr>
      </w:pPr>
      <w:r>
        <w:object w:dxaOrig="1103"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5.5pt" o:ole="" fillcolor="window">
            <v:imagedata r:id="rId8" o:title=""/>
          </v:shape>
          <o:OLEObject Type="Embed" ProgID="Word.Picture.8" ShapeID="_x0000_i1025" DrawAspect="Content" ObjectID="_1645604085" r:id="rId9"/>
        </w:object>
      </w:r>
    </w:p>
    <w:p>
      <w:pPr>
        <w:spacing w:after="0"/>
        <w:jc w:val="center"/>
        <w:rPr>
          <w:rFonts w:ascii="Times New Roman" w:hAnsi="Times New Roman" w:cs="Times New Roman"/>
          <w:sz w:val="32"/>
          <w:szCs w:val="32"/>
        </w:rPr>
      </w:pPr>
    </w:p>
    <w:p>
      <w:pPr>
        <w:spacing w:after="0"/>
        <w:jc w:val="center"/>
        <w:rPr>
          <w:rFonts w:ascii="Times New Roman" w:hAnsi="Times New Roman" w:cs="Times New Roman"/>
          <w:sz w:val="32"/>
          <w:szCs w:val="32"/>
        </w:rPr>
      </w:pPr>
      <w:r>
        <w:rPr>
          <w:rFonts w:ascii="Times New Roman" w:hAnsi="Times New Roman" w:cs="Times New Roman"/>
          <w:b/>
          <w:sz w:val="32"/>
          <w:szCs w:val="32"/>
        </w:rPr>
        <w:t>ГОСУДАРСТВЕННАЯ КОМИССИЯ ПО РАДИОЧАСТОТАМ (ГКРЧ)</w:t>
      </w:r>
    </w:p>
    <w:p>
      <w:pPr>
        <w:spacing w:after="0" w:line="240" w:lineRule="auto"/>
        <w:jc w:val="center"/>
        <w:rPr>
          <w:rFonts w:ascii="Times New Roman" w:hAnsi="Times New Roman" w:cs="Times New Roman"/>
          <w:sz w:val="32"/>
          <w:szCs w:val="32"/>
        </w:rPr>
      </w:pPr>
    </w:p>
    <w:p>
      <w:pPr>
        <w:spacing w:after="0" w:line="240" w:lineRule="auto"/>
        <w:jc w:val="center"/>
        <w:rPr>
          <w:rFonts w:ascii="Times New Roman" w:hAnsi="Times New Roman" w:cs="Times New Roman"/>
          <w:sz w:val="32"/>
          <w:szCs w:val="32"/>
        </w:rPr>
      </w:pPr>
      <w:r>
        <w:rPr>
          <w:rFonts w:ascii="Times New Roman" w:hAnsi="Times New Roman" w:cs="Times New Roman"/>
          <w:b/>
          <w:spacing w:val="320"/>
          <w:sz w:val="32"/>
          <w:szCs w:val="32"/>
        </w:rPr>
        <w:t>РЕШЕНИ</w:t>
      </w:r>
      <w:r>
        <w:rPr>
          <w:rFonts w:ascii="Times New Roman" w:hAnsi="Times New Roman" w:cs="Times New Roman"/>
          <w:b/>
          <w:sz w:val="32"/>
          <w:szCs w:val="32"/>
        </w:rPr>
        <w:t>Е</w:t>
      </w:r>
    </w:p>
    <w:p>
      <w:pPr>
        <w:spacing w:after="0" w:line="240" w:lineRule="auto"/>
        <w:jc w:val="center"/>
        <w:rPr>
          <w:rFonts w:ascii="Times New Roman" w:hAnsi="Times New Roman" w:cs="Times New Roman"/>
          <w:sz w:val="32"/>
          <w:szCs w:val="32"/>
        </w:rPr>
      </w:pPr>
    </w:p>
    <w:tbl>
      <w:tblPr>
        <w:tblW w:w="10031" w:type="dxa"/>
        <w:tblLayout w:type="fixed"/>
        <w:tblLook w:val="01E0" w:firstRow="1" w:lastRow="1" w:firstColumn="1" w:lastColumn="1" w:noHBand="0" w:noVBand="0"/>
      </w:tblPr>
      <w:tblGrid>
        <w:gridCol w:w="2659"/>
        <w:gridCol w:w="4962"/>
        <w:gridCol w:w="2410"/>
      </w:tblGrid>
      <w:tr>
        <w:trPr>
          <w:trHeight w:val="335"/>
        </w:trPr>
        <w:tc>
          <w:tcPr>
            <w:tcW w:w="2659" w:type="dxa"/>
          </w:tcPr>
          <w:p>
            <w:pPr>
              <w:spacing w:after="100" w:afterAutospacing="1"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15 июля 2010</w:t>
            </w:r>
          </w:p>
        </w:tc>
        <w:tc>
          <w:tcPr>
            <w:tcW w:w="4962" w:type="dxa"/>
          </w:tcPr>
          <w:p>
            <w:pPr>
              <w:spacing w:after="100" w:afterAutospacing="1" w:line="240" w:lineRule="auto"/>
              <w:ind w:right="-57"/>
              <w:jc w:val="right"/>
              <w:rPr>
                <w:rFonts w:ascii="Times New Roman" w:hAnsi="Times New Roman" w:cs="Times New Roman"/>
                <w:sz w:val="28"/>
                <w:szCs w:val="28"/>
              </w:rPr>
            </w:pPr>
          </w:p>
        </w:tc>
        <w:tc>
          <w:tcPr>
            <w:tcW w:w="2410" w:type="dxa"/>
          </w:tcPr>
          <w:p>
            <w:pPr>
              <w:spacing w:after="100" w:afterAutospacing="1" w:line="240" w:lineRule="auto"/>
              <w:rPr>
                <w:rFonts w:ascii="Times New Roman" w:hAnsi="Times New Roman" w:cs="Times New Roman"/>
                <w:sz w:val="28"/>
                <w:szCs w:val="28"/>
                <w:u w:val="single"/>
              </w:rPr>
            </w:pPr>
            <w:r>
              <w:rPr>
                <w:rFonts w:ascii="Times New Roman" w:hAnsi="Times New Roman" w:cs="Times New Roman"/>
                <w:sz w:val="28"/>
                <w:szCs w:val="28"/>
                <w:u w:val="single"/>
              </w:rPr>
              <w:t>№ 10-07-01</w:t>
            </w:r>
          </w:p>
        </w:tc>
      </w:tr>
    </w:tbl>
    <w:p>
      <w:pPr>
        <w:spacing w:after="0" w:line="240" w:lineRule="auto"/>
        <w:jc w:val="center"/>
        <w:rPr>
          <w:rFonts w:ascii="Times New Roman" w:hAnsi="Times New Roman" w:cs="Times New Roman"/>
          <w:lang w:val="en-US"/>
        </w:rPr>
      </w:pP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г. Москва</w:t>
      </w:r>
    </w:p>
    <w:p>
      <w:pPr>
        <w:spacing w:after="0" w:line="240" w:lineRule="auto"/>
        <w:jc w:val="center"/>
        <w:rPr>
          <w:lang w:val="en-US"/>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ВЫДЕЛЕНИИ ПОЛОС РАДИОЧАСТОТ ДЛЯ РАДИОЭЛЕКТРОННЫХ СРЕДСТВ ЛЮБИТЕЛЬСКОЙ И ЛЮБИТЕЛЬСКОЙ СПУТНИКОВОЙ СЛУЖБ</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Заслушав сообщение Федеральной службы по надзору в сфере связи, информационных технологий и массовых коммуникаций о выделении полос радиочастот для радиоэлектронных средств любительской и любительской спутниковой служб, учитывая важное общественное значение любительской и любительской спутниковой служб, а также принимая во внимание: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радиолюбителей в организации связи в условиях чрезвычайных ситуаций и в мероприятиях по спасению людей;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роль любительской и любительской спутниковой служб в развитии технического творчества граждан Российской Федерации, исследованиях и совершенствовании новых технологий в радиосвязи;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значение радиоспорта как средства </w:t>
      </w:r>
      <w:proofErr w:type="gramStart"/>
      <w:r>
        <w:rPr>
          <w:rFonts w:ascii="Times New Roman" w:hAnsi="Times New Roman" w:cs="Times New Roman"/>
          <w:sz w:val="28"/>
          <w:szCs w:val="28"/>
        </w:rPr>
        <w:t>пропаганды здорового образа жизни граждан Российской Федерации</w:t>
      </w:r>
      <w:proofErr w:type="gramEnd"/>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комиссия по радиочастотам РЕШИЛА:</w:t>
      </w:r>
    </w:p>
    <w:p>
      <w:pPr>
        <w:spacing w:after="0" w:line="240" w:lineRule="auto"/>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Выделить неопределенному кругу лиц полосы радиочастот 3500 - 3650 кГц, 7000 - 7200 кГц, 14000 - 14350 кГц, 21000 - 21450 кГц, 28000 - 29700 кГц, 144 - 146 МГц, 24 - 24,05 ГГц, 47 - 47,2 ГГц, 77,5 - 78 ГГц, 134 - 136 ГГц, 248 - 250 ГГц для использования радиоэлектронными средствами любительской службы.</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Выделить неопределенному кругу лиц полосы радиочастот 135,7 - 137,8 кГц, 1810 - 2000 кГц, 3650 - 3800 кГц, 10100 - 10150 кГц, 18068 - 18168 кГц, 24890 - 24990 кГц, 430 - 440 МГц, 1260 - 1300 МГц, 2320 - 2320,15 МГц (только для проведения экспериментальных радиосвязей с использованием Луны в качестве пассивного ретранслятора) 5650 - 5670 МГц, 5725 - 5850 МГц, 10 - 10,5 ГГц, 24,05 - 24,25 ГГц, 76 - 77,5 ГГц</w:t>
      </w:r>
      <w:proofErr w:type="gramEnd"/>
      <w:r>
        <w:rPr>
          <w:rFonts w:ascii="Times New Roman" w:hAnsi="Times New Roman" w:cs="Times New Roman"/>
          <w:sz w:val="28"/>
          <w:szCs w:val="28"/>
        </w:rPr>
        <w:t xml:space="preserve">, 122,25 - 123 ГГц, 136 - 141 ГГц, </w:t>
      </w:r>
      <w:r>
        <w:rPr>
          <w:rFonts w:ascii="Times New Roman" w:hAnsi="Times New Roman" w:cs="Times New Roman"/>
          <w:sz w:val="28"/>
          <w:szCs w:val="28"/>
        </w:rPr>
        <w:lastRenderedPageBreak/>
        <w:t>241 - 248 ГГц для использования на вторичной основе радиоэлектронными средствами любительской службой.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Выделить неопределенному кругу лиц полосы радиочастот 7000 - 7100 кГц, 14000 - 14250 кГц, 21000 - 21450 кГц; 28000 - 29700 кГц, 144 - 146 МГц, 24 - 24,05 ГГц, 47 - 47,2 ГГц, 77,5 - 78 ГГц, 134 - 136 ГГц, 248 - 250 ГГц и для использования радиоэлектронными средствами любительской спутниковой службы.</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Выделить неопределенному кругу лиц полосы радиочастот 18068 - 18168 кГц, 24890 - 24990 кГц, 435 - 438 МГц, 1260 - 1270 МГц (Земля - космос), 2400 - 2450 МГц, 5650 - 5670 МГц (Земля - космос), 5830 - 5850 МГц (космос - Земля), 10,45 - 10,5 ГГц, 76 - 77,5 ГГц, 136 - 141 ГГц, 241 - 248 ГГц для использования на вторичной основе радиоэлектронными средствами любительской спутниковой службы.</w:t>
      </w:r>
      <w:proofErr w:type="gramEnd"/>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Использование выделенных полос радиочастот, указанных в пунктах 1 - 4 настоящего решения ГКРЧ, должно осуществляться без оформления разрешения на использование радиочастот или радиочастотных каналов (за исключением случаев, указанных ниже), при выполнении следующих условий: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соответствие технических характеристик разрабатываемых, производимых, модернизируемых и применяемых радиоэлектронных средств любительской и любительской спутниковой служб действующим нормам ГКРЧ, в том числе на допустимые уровни побочных излучений, и характеристикам, указанным в приложении к настоящему решению ГКРЧ;</w:t>
      </w:r>
    </w:p>
    <w:p>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получение в установленном в Российской Федерации порядке разрешений на использование радиочастот или радиочастотных каналов для применения ретрансляторов и (или) радиомаяков любительской службы, а также земных станций, выполняющих функции службы космической эксплуатации в рамках любительской спутниковой службы;</w:t>
      </w:r>
      <w:proofErr w:type="gramEnd"/>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у лица, планирующего использовать выделенные настоящим решением ГКРЧ полосы радиочастот, свидетельства об образовании позывного сигнала опознавания радиоэлектронных средств любительской службы либо радиолюбительской лицензии, соответствующей рекомендации Комитета по электронным средствам связи Европейской конференции администраций почт и электросвязи CEPT T/R 61-01 или ECC/REC/(05)06;</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требований</w:t>
      </w:r>
      <w:bookmarkStart w:id="0" w:name="_GoBack"/>
      <w:bookmarkEnd w:id="0"/>
      <w:r>
        <w:rPr>
          <w:rFonts w:ascii="Times New Roman" w:hAnsi="Times New Roman" w:cs="Times New Roman"/>
          <w:sz w:val="28"/>
          <w:szCs w:val="28"/>
        </w:rPr>
        <w:t xml:space="preserve"> к использованию радиочастотного спектра, любительской службой и любительской спутниковой службой в Российской Федерации, утвержденных приказом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 июля 2012 г. N 184;</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соответствие используемых радиочастот для любительской спутниковой службы частотному плану Международного союза радиолюбителей для Района 1;</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использовании радиочастот для любительской службы рекомендуется учитывать частотный план Международного союза радиолюбителей для района 1 в части, не противоречащей настоящему решению ГКРЧ;</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полосы радиочастот 430 - 433 МГц должно осуществляться с учетом установленных решениями ГКРЧ ограничений, в том числе запрета на излучение радиоэлектронных средств любительской службы в зоне радиусом 350 км от центра г. Москва;</w:t>
      </w:r>
    </w:p>
    <w:p>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ретрансляторов любительской службы должно осуществляться только в следующих полосах радиочастот: 29615 - 29695 кГц, 145,575 - 145,790 МГц, 434,575 - 435 МГц, 438,65 - 439,425 МГц, 1296,975 - 1297,5 МГц (радиочастоты передачи) и 29515 - 29595 кГц (разнос радиочастот приема и передачи 100 кГц при передаче в полосе 29615 - 29695 кГц), 144,975 - 145,19 МГц (разнос радиочастот приема и передачи 600 кГц при передаче в полосе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145,575 - 145,790 МГц), 432,975 - 433,4 МГц (разнос радиочастот приема и передачи 1600 кГц при передаче в полосе 434,575 - 435 МГц), 431,05 - 431,825 МГц (разнос радиочастот приема и передачи 7600 кГц при передаче в полосе 438,65 - 439,425 МГц), 1290,975 - 1291,5 МГц (разнос радиочастот приема и передачи 6000 кГц при передаче в полосе 1296,975 - 1297,5 МГц) (радиочастоты приема);</w:t>
      </w:r>
      <w:proofErr w:type="gramEnd"/>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одночастотные любительские ретрансляторы (радиочастота приема которых совпадает с радиочастотой передачи) должны использоваться в полосах радиочастот 29615 - 29695 кГц, 145,575 - 145,79 МГц, 434,575 - 435 МГц, 438,65 - 439,425 МГц, 1296,975 - 1297,5 МГц;</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полосы радиочастот 14099 - 14101 кГц, 18109 - 18111 кГц, 21149 - 21151 кГц, 24929 - 24931 кГц, 28189 - 28226 кГц, 144,399 - 144,491 МГц, 432,4 - 432,49 МГц, 1296,8 - 1296,994 МГц должны использоваться только передачи и приема сигналов радиомаяков любительской службы;</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радиоэлектронных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спортивной радиопеленгации должно осуществляться в полосах радиочастот 3510 - 3650 кГц и 144 - 146 МГц;</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радиоэлектронных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спортивного </w:t>
      </w:r>
      <w:proofErr w:type="spellStart"/>
      <w:r>
        <w:rPr>
          <w:rFonts w:ascii="Times New Roman" w:hAnsi="Times New Roman" w:cs="Times New Roman"/>
          <w:sz w:val="28"/>
          <w:szCs w:val="28"/>
        </w:rPr>
        <w:t>радиомногоборья</w:t>
      </w:r>
      <w:proofErr w:type="spellEnd"/>
      <w:r>
        <w:rPr>
          <w:rFonts w:ascii="Times New Roman" w:hAnsi="Times New Roman" w:cs="Times New Roman"/>
          <w:sz w:val="28"/>
          <w:szCs w:val="28"/>
        </w:rPr>
        <w:t xml:space="preserve"> должно осуществляться в полосах радиочастот 1830 - 1930 кГц, 3510 - 3650 кГц, 144 - 146 МГц, 433 - 440 МГц;</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ретрансляторов и радиомаяков любительской спутниковой службы (в том числе для передачи данных и телеметрии), установленных в том числе на малоразмерных космических аппаратах (микро-, нан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пикоспутниках</w:t>
      </w:r>
      <w:proofErr w:type="spellEnd"/>
      <w:r>
        <w:rPr>
          <w:rFonts w:ascii="Times New Roman" w:hAnsi="Times New Roman" w:cs="Times New Roman"/>
          <w:sz w:val="28"/>
          <w:szCs w:val="28"/>
        </w:rPr>
        <w:t xml:space="preserve">), а также земных станций, выполняющих функции службы космической эксплуатации в рамках любительской спутниковой службы, должно осуществляться в полосах радиочастот 21,12 - 21,425 МГц (Земля - космос); </w:t>
      </w:r>
      <w:proofErr w:type="gramStart"/>
      <w:r>
        <w:rPr>
          <w:rFonts w:ascii="Times New Roman" w:hAnsi="Times New Roman" w:cs="Times New Roman"/>
          <w:sz w:val="28"/>
          <w:szCs w:val="28"/>
        </w:rPr>
        <w:t>29,3 - 29,52 МГц; 145,8 - 146 МГц, 435 - 438 МГц; 1,26 - 1,27 ГГц (Земля - космос); 5,65 - 5,67 ГГц (Земля - космос); 5,83 - 5,85 ГГц (космос - Земля); 10,45 - 10,5 ГГц; 24,048 - 24,05 ГГц; 47,0 - 47,2 ГГц; 76 - 78 ГГц; 134 - 141 ГГц; 241 - 250 ГГц;</w:t>
      </w:r>
      <w:proofErr w:type="gramEnd"/>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полос радиочастот, указанных в пунктах 2, 4 настоящего решения ГКРЧ должно осуществляться без причинения вредных помех радиоэлектронным средствам других служб радиосвязи и без требования защиты от вредных помех, создаваемых радиоэлектронными средствами других служб радиосвязи.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 Регистрация радиоэлектронных средств любительской службы и любительской спутниковой службы должна осуществляться в установленном порядке.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Ввоз на территорию Российской Федерации радиоэлектронных средств любительской службы и любительской спутниковой службы должен осуществляться в установленном порядке.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Установить срок действия настоящего решения ГКРЧ до 1 апреля 2028 г.</w:t>
      </w:r>
    </w:p>
    <w:p>
      <w:pPr>
        <w:pStyle w:val="1"/>
        <w:suppressAutoHyphens/>
        <w:jc w:val="both"/>
        <w:rPr>
          <w:rFonts w:ascii="Times New Roman" w:hAnsi="Times New Roman"/>
          <w:sz w:val="28"/>
          <w:szCs w:val="28"/>
        </w:rPr>
      </w:pPr>
    </w:p>
    <w:p>
      <w:pPr>
        <w:pStyle w:val="1"/>
        <w:suppressAutoHyphens/>
        <w:jc w:val="both"/>
        <w:rPr>
          <w:rFonts w:ascii="Times New Roman" w:hAnsi="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ГКРЧ</w:t>
      </w:r>
    </w:p>
    <w:p>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июля 2010 г. N 10-07-01</w:t>
      </w:r>
    </w:p>
    <w:p>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ТЕХНИЧЕСКИЕ ХАРАКТЕРИСТИКИ РЭС ЛЮБИТЕЛЬСКОЙ</w:t>
      </w:r>
      <w:proofErr w:type="gramEnd"/>
    </w:p>
    <w:p>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ЛЮБИТЕЛЬСКОЙ СПУТНИКОВОЙ СЛУЖБ</w:t>
      </w:r>
    </w:p>
    <w:p>
      <w:pPr>
        <w:widowControl w:val="0"/>
        <w:autoSpaceDE w:val="0"/>
        <w:autoSpaceDN w:val="0"/>
        <w:spacing w:after="0" w:line="240" w:lineRule="auto"/>
        <w:jc w:val="right"/>
        <w:rPr>
          <w:rFonts w:ascii="Times New Roman" w:eastAsia="Times New Roman" w:hAnsi="Times New Roman" w:cs="Times New Roman"/>
          <w:szCs w:val="20"/>
          <w:lang w:eastAsia="ru-RU"/>
        </w:rPr>
      </w:pPr>
    </w:p>
    <w:p>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Таблица N 1</w:t>
      </w:r>
    </w:p>
    <w:p>
      <w:pPr>
        <w:widowControl w:val="0"/>
        <w:autoSpaceDE w:val="0"/>
        <w:autoSpaceDN w:val="0"/>
        <w:spacing w:after="0" w:line="240" w:lineRule="auto"/>
        <w:jc w:val="right"/>
        <w:rPr>
          <w:rFonts w:ascii="Times New Roman" w:eastAsia="Times New Roman" w:hAnsi="Times New Roman" w:cs="Times New Roman"/>
          <w:szCs w:val="20"/>
          <w:lang w:eastAsia="ru-RU"/>
        </w:rPr>
      </w:pPr>
    </w:p>
    <w:p>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ХАРАКТЕРИСТИКИ РЭС ЛЮБИТЕЛЬСКОЙ СЛУЖБЫ,</w:t>
      </w:r>
    </w:p>
    <w:p>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ИСПОЛЬЗУЮЩИХ КОД МОРЗЕ</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05"/>
        <w:gridCol w:w="1984"/>
        <w:gridCol w:w="1304"/>
        <w:gridCol w:w="2324"/>
      </w:tblGrid>
      <w:tr>
        <w:tc>
          <w:tcPr>
            <w:tcW w:w="158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Полосы радиочастот</w:t>
            </w:r>
          </w:p>
        </w:tc>
        <w:tc>
          <w:tcPr>
            <w:tcW w:w="1805"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135,7 - 137,8;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1810 - 2000;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3500 - 3800;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7000 - 7200 кГц</w:t>
            </w:r>
          </w:p>
        </w:tc>
        <w:tc>
          <w:tcPr>
            <w:tcW w:w="198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10,1 - 10,15;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14 - 14,35;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18,068 - 18,168;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21 - 21,45;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24,89 - 24,99;</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28 - 29,7 МГц</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144 - 146;</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430 - 440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МГц</w:t>
            </w:r>
          </w:p>
        </w:tc>
        <w:tc>
          <w:tcPr>
            <w:tcW w:w="232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1,26 - 1,3;</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5,65 - 5,67;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5,725 - 5,85;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10,0 - 10,5;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24,0 - 24,25;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47,0 - 47,2;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76,0 - 78,0;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122,25 - 123,0;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134,0 - 141,0;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241,0 - 250,0 ГГц</w:t>
            </w:r>
          </w:p>
        </w:tc>
      </w:tr>
      <w:tr>
        <w:tc>
          <w:tcPr>
            <w:tcW w:w="158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w:t>
            </w:r>
          </w:p>
        </w:tc>
        <w:tc>
          <w:tcPr>
            <w:tcW w:w="1805"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150HA1A;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150HJ2A;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1H00J2B;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60H0J2B</w:t>
            </w:r>
          </w:p>
        </w:tc>
        <w:tc>
          <w:tcPr>
            <w:tcW w:w="1984"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150HA1A;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150HJ2</w:t>
            </w:r>
            <w:r>
              <w:rPr>
                <w:rFonts w:ascii="Calibri" w:eastAsia="Times New Roman" w:hAnsi="Calibri" w:cs="Calibri"/>
                <w:szCs w:val="20"/>
                <w:lang w:eastAsia="ru-RU"/>
              </w:rPr>
              <w:t>А</w:t>
            </w:r>
            <w:r>
              <w:rPr>
                <w:rFonts w:ascii="Calibri" w:eastAsia="Times New Roman" w:hAnsi="Calibri" w:cs="Calibri"/>
                <w:szCs w:val="20"/>
                <w:lang w:val="en-US" w:eastAsia="ru-RU"/>
              </w:rPr>
              <w:t>;</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1H00J2B;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60H0J2B</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150HA1A;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150HJ2A;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1H00J2B;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60H0J2B;</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3K00A2A &lt;1&gt;, 6K00F2A &lt;1&gt;</w:t>
            </w:r>
          </w:p>
        </w:tc>
        <w:tc>
          <w:tcPr>
            <w:tcW w:w="2324"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150HA1A;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150HJ2A;</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1H00J2B;</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60H0J2B</w:t>
            </w:r>
          </w:p>
        </w:tc>
      </w:tr>
      <w:tr>
        <w:tc>
          <w:tcPr>
            <w:tcW w:w="158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Допустимое отклонение частоты, не более</w:t>
            </w:r>
          </w:p>
        </w:tc>
        <w:tc>
          <w:tcPr>
            <w:tcW w:w="1805"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x 10</w:t>
            </w:r>
            <w:r>
              <w:rPr>
                <w:rFonts w:ascii="Calibri" w:eastAsia="Times New Roman" w:hAnsi="Calibri" w:cs="Calibri"/>
                <w:szCs w:val="20"/>
                <w:vertAlign w:val="superscript"/>
                <w:lang w:eastAsia="ru-RU"/>
              </w:rPr>
              <w:t>-6</w:t>
            </w:r>
          </w:p>
        </w:tc>
        <w:tc>
          <w:tcPr>
            <w:tcW w:w="198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232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300 x 10</w:t>
            </w:r>
            <w:r>
              <w:rPr>
                <w:rFonts w:ascii="Calibri" w:eastAsia="Times New Roman" w:hAnsi="Calibri" w:cs="Calibri"/>
                <w:szCs w:val="20"/>
                <w:vertAlign w:val="superscript"/>
                <w:lang w:eastAsia="ru-RU"/>
              </w:rPr>
              <w:t>-6</w:t>
            </w:r>
          </w:p>
        </w:tc>
      </w:tr>
    </w:tbl>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&lt;1</w:t>
      </w:r>
      <w:proofErr w:type="gramStart"/>
      <w:r>
        <w:rPr>
          <w:rFonts w:ascii="Calibri" w:eastAsia="Times New Roman" w:hAnsi="Calibri" w:cs="Calibri"/>
          <w:szCs w:val="20"/>
          <w:lang w:eastAsia="ru-RU"/>
        </w:rPr>
        <w:t>&gt; Т</w:t>
      </w:r>
      <w:proofErr w:type="gramEnd"/>
      <w:r>
        <w:rPr>
          <w:rFonts w:ascii="Calibri" w:eastAsia="Times New Roman" w:hAnsi="Calibri" w:cs="Calibri"/>
          <w:szCs w:val="20"/>
          <w:lang w:eastAsia="ru-RU"/>
        </w:rPr>
        <w:t xml:space="preserve">олько для передатчиков спортивной радиопеленгации и </w:t>
      </w:r>
      <w:proofErr w:type="spellStart"/>
      <w:r>
        <w:rPr>
          <w:rFonts w:ascii="Calibri" w:eastAsia="Times New Roman" w:hAnsi="Calibri" w:cs="Calibri"/>
          <w:szCs w:val="20"/>
          <w:lang w:eastAsia="ru-RU"/>
        </w:rPr>
        <w:t>радиомногоборья</w:t>
      </w:r>
      <w:proofErr w:type="spellEnd"/>
      <w:r>
        <w:rPr>
          <w:rFonts w:ascii="Calibri" w:eastAsia="Times New Roman" w:hAnsi="Calibri" w:cs="Calibri"/>
          <w:szCs w:val="20"/>
          <w:lang w:eastAsia="ru-RU"/>
        </w:rPr>
        <w:t>, такие передатчики также могут использовать класс излучения 150HA1A.</w:t>
      </w:r>
    </w:p>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2</w:t>
      </w:r>
    </w:p>
    <w:p>
      <w:pPr>
        <w:widowControl w:val="0"/>
        <w:autoSpaceDE w:val="0"/>
        <w:autoSpaceDN w:val="0"/>
        <w:spacing w:after="0" w:line="240" w:lineRule="auto"/>
        <w:jc w:val="center"/>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xml:space="preserve">ХАРАКТЕРИСТИКИ РЭС ЛЮБИТЕЛЬСКОЙ СЛУЖБЫ, </w:t>
      </w:r>
      <w:proofErr w:type="gramStart"/>
      <w:r>
        <w:rPr>
          <w:rFonts w:ascii="Calibri" w:eastAsia="Times New Roman" w:hAnsi="Calibri" w:cs="Calibri"/>
          <w:szCs w:val="20"/>
          <w:lang w:eastAsia="ru-RU"/>
        </w:rPr>
        <w:t>ИСПОЛЬЗУЮЩИХ</w:t>
      </w:r>
      <w:proofErr w:type="gramEnd"/>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УЗКОПОЛОСНЫЕ ЦИФРОВЫЕ ВИДЫ МОДУЛЯЦИИ ДЛЯ СВЕРХМЕДЛЕННОЙ</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ПЕРЕДАЧИ ДАННЫХ</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2041"/>
        <w:gridCol w:w="2438"/>
        <w:gridCol w:w="2400"/>
      </w:tblGrid>
      <w:tr>
        <w:tc>
          <w:tcPr>
            <w:tcW w:w="200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Полосы радиочастот</w:t>
            </w:r>
          </w:p>
        </w:tc>
        <w:tc>
          <w:tcPr>
            <w:tcW w:w="204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135,7 - 137,8;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1838 - 2000;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3570 - 3800;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7040 - 7200 кГц</w:t>
            </w:r>
          </w:p>
        </w:tc>
        <w:tc>
          <w:tcPr>
            <w:tcW w:w="243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10,13 - 10,15;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14,07 - 14,35;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18,095 - 18,168;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21,07 - 21,45;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24,915 - 24,99;</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28,07 - 29,7;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144,1 - 146;</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430 - 440 МГц</w:t>
            </w:r>
          </w:p>
        </w:tc>
        <w:tc>
          <w:tcPr>
            <w:tcW w:w="240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1,26 - 1,3;</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5,65 - 5,67;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5,725 - 5,85;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10,0 - 10,5;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24,0 - 24,25;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47 - 47,2;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76 - 78;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122,25 - 123;</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134 - 141;</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241 - 250 ГГц</w:t>
            </w:r>
          </w:p>
        </w:tc>
      </w:tr>
      <w:tr>
        <w:tc>
          <w:tcPr>
            <w:tcW w:w="200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Допустимые классы излучения</w:t>
            </w:r>
          </w:p>
        </w:tc>
        <w:tc>
          <w:tcPr>
            <w:tcW w:w="2041"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250HF1D;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250HJ2D;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2H00J2D</w:t>
            </w:r>
          </w:p>
        </w:tc>
        <w:tc>
          <w:tcPr>
            <w:tcW w:w="2438"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250HF1D;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250HJ2D;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2H00J2D</w:t>
            </w:r>
          </w:p>
        </w:tc>
        <w:tc>
          <w:tcPr>
            <w:tcW w:w="2400"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250HF1D;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1H00A1D;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1H00F1D;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250HJ2D;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2H00J2D</w:t>
            </w:r>
          </w:p>
        </w:tc>
      </w:tr>
      <w:tr>
        <w:tc>
          <w:tcPr>
            <w:tcW w:w="200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Допустимое отклонение частоты, не более</w:t>
            </w:r>
          </w:p>
        </w:tc>
        <w:tc>
          <w:tcPr>
            <w:tcW w:w="204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x 10</w:t>
            </w:r>
            <w:r>
              <w:rPr>
                <w:rFonts w:ascii="Calibri" w:eastAsia="Times New Roman" w:hAnsi="Calibri" w:cs="Calibri"/>
                <w:szCs w:val="20"/>
                <w:vertAlign w:val="superscript"/>
                <w:lang w:eastAsia="ru-RU"/>
              </w:rPr>
              <w:t>-6</w:t>
            </w:r>
          </w:p>
        </w:tc>
        <w:tc>
          <w:tcPr>
            <w:tcW w:w="243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240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300 x 10</w:t>
            </w:r>
            <w:r>
              <w:rPr>
                <w:rFonts w:ascii="Calibri" w:eastAsia="Times New Roman" w:hAnsi="Calibri" w:cs="Calibri"/>
                <w:szCs w:val="20"/>
                <w:vertAlign w:val="superscript"/>
                <w:lang w:eastAsia="ru-RU"/>
              </w:rPr>
              <w:t>-6</w:t>
            </w:r>
          </w:p>
        </w:tc>
      </w:tr>
    </w:tbl>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3</w:t>
      </w:r>
    </w:p>
    <w:p>
      <w:pPr>
        <w:widowControl w:val="0"/>
        <w:autoSpaceDE w:val="0"/>
        <w:autoSpaceDN w:val="0"/>
        <w:spacing w:after="0" w:line="240" w:lineRule="auto"/>
        <w:jc w:val="center"/>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xml:space="preserve">ХАРАКТЕРИСТИКИ РЭС ЛЮБИТЕЛЬСКОЙ СЛУЖБЫ, </w:t>
      </w:r>
      <w:proofErr w:type="gramStart"/>
      <w:r>
        <w:rPr>
          <w:rFonts w:ascii="Calibri" w:eastAsia="Times New Roman" w:hAnsi="Calibri" w:cs="Calibri"/>
          <w:szCs w:val="20"/>
          <w:lang w:eastAsia="ru-RU"/>
        </w:rPr>
        <w:t>ИСПОЛЬЗУЕМЫХ</w:t>
      </w:r>
      <w:proofErr w:type="gramEnd"/>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ДЛЯ ПЕРЕДАЧИ РЕЧЕВЫХ СООБЩЕНИЙ В АНАЛОГОВОМ ВИДЕ</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59"/>
        <w:gridCol w:w="1928"/>
        <w:gridCol w:w="1853"/>
        <w:gridCol w:w="1928"/>
      </w:tblGrid>
      <w:tr>
        <w:tc>
          <w:tcPr>
            <w:tcW w:w="170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Полосы радиочастот</w:t>
            </w:r>
          </w:p>
        </w:tc>
        <w:tc>
          <w:tcPr>
            <w:tcW w:w="1459"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1840 - 2000;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3600 - 3800;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7050 - 7200 кГц</w:t>
            </w:r>
          </w:p>
        </w:tc>
        <w:tc>
          <w:tcPr>
            <w:tcW w:w="19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14101 - 14350;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18111 - 18168;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21151 - 21450;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24931 - 24990;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28225 - 29700 кГц</w:t>
            </w:r>
          </w:p>
        </w:tc>
        <w:tc>
          <w:tcPr>
            <w:tcW w:w="1853"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144,15 - 144,399;</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144,491 - 146;</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430 - 432;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432,1 - 432,4;</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432,5 - 434;</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434,1 - 440 МГц</w:t>
            </w:r>
          </w:p>
        </w:tc>
        <w:tc>
          <w:tcPr>
            <w:tcW w:w="19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1,26 - 1,3;</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5,65 - 5,67;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5,725 - 5,85;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10,0 - 10,5;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24,0 - 24,25;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47,0 - 47,2;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76,0 - 78,0;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122,25 - 123,0;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134,0 - 141,0;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241,0 - 250,0 ГГц</w:t>
            </w:r>
          </w:p>
        </w:tc>
      </w:tr>
      <w:tr>
        <w:tc>
          <w:tcPr>
            <w:tcW w:w="170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w:t>
            </w:r>
          </w:p>
        </w:tc>
        <w:tc>
          <w:tcPr>
            <w:tcW w:w="1459"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tc>
        <w:tc>
          <w:tcPr>
            <w:tcW w:w="19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6K00A3E &lt;1&gt;</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11K0F3E &lt;1&gt;</w:t>
            </w:r>
            <w:r>
              <w:rPr>
                <w:rFonts w:ascii="Calibri" w:eastAsia="Times New Roman" w:hAnsi="Calibri" w:cs="Calibri"/>
                <w:szCs w:val="20"/>
                <w:vertAlign w:val="superscript"/>
                <w:lang w:eastAsia="ru-RU"/>
              </w:rPr>
              <w:t>;</w:t>
            </w:r>
            <w:r>
              <w:rPr>
                <w:rFonts w:ascii="Calibri" w:eastAsia="Times New Roman" w:hAnsi="Calibri" w:cs="Calibri"/>
                <w:szCs w:val="20"/>
                <w:lang w:eastAsia="ru-RU"/>
              </w:rPr>
              <w:t xml:space="preserve"> 16K0F3E &lt;1&gt;</w:t>
            </w:r>
          </w:p>
        </w:tc>
        <w:tc>
          <w:tcPr>
            <w:tcW w:w="1853"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2K70J3E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6K00A3E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11K0F3E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16K0F3E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20K0F3E</w:t>
            </w:r>
          </w:p>
        </w:tc>
        <w:tc>
          <w:tcPr>
            <w:tcW w:w="1928"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2K70J3E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6K00A3E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11K0F3E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16K0F3E</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20K0F3E</w:t>
            </w:r>
          </w:p>
        </w:tc>
      </w:tr>
      <w:tr>
        <w:tc>
          <w:tcPr>
            <w:tcW w:w="170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Допустимое отклонение частоты, не более</w:t>
            </w:r>
          </w:p>
        </w:tc>
        <w:tc>
          <w:tcPr>
            <w:tcW w:w="1459"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x 10</w:t>
            </w:r>
            <w:r>
              <w:rPr>
                <w:rFonts w:ascii="Calibri" w:eastAsia="Times New Roman" w:hAnsi="Calibri" w:cs="Calibri"/>
                <w:szCs w:val="20"/>
                <w:vertAlign w:val="superscript"/>
                <w:lang w:eastAsia="ru-RU"/>
              </w:rPr>
              <w:t>-6</w:t>
            </w:r>
          </w:p>
        </w:tc>
        <w:tc>
          <w:tcPr>
            <w:tcW w:w="19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1853"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19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300 x 10</w:t>
            </w:r>
            <w:r>
              <w:rPr>
                <w:rFonts w:ascii="Calibri" w:eastAsia="Times New Roman" w:hAnsi="Calibri" w:cs="Calibri"/>
                <w:szCs w:val="20"/>
                <w:vertAlign w:val="superscript"/>
                <w:lang w:eastAsia="ru-RU"/>
              </w:rPr>
              <w:t>-6</w:t>
            </w:r>
          </w:p>
        </w:tc>
      </w:tr>
    </w:tbl>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&lt;1</w:t>
      </w:r>
      <w:proofErr w:type="gramStart"/>
      <w:r>
        <w:rPr>
          <w:rFonts w:ascii="Calibri" w:eastAsia="Times New Roman" w:hAnsi="Calibri" w:cs="Calibri"/>
          <w:szCs w:val="20"/>
          <w:lang w:eastAsia="ru-RU"/>
        </w:rPr>
        <w:t>&gt; Т</w:t>
      </w:r>
      <w:proofErr w:type="gramEnd"/>
      <w:r>
        <w:rPr>
          <w:rFonts w:ascii="Calibri" w:eastAsia="Times New Roman" w:hAnsi="Calibri" w:cs="Calibri"/>
          <w:szCs w:val="20"/>
          <w:lang w:eastAsia="ru-RU"/>
        </w:rPr>
        <w:t>олько на радиочастотах выше 28000 кГц.</w:t>
      </w:r>
    </w:p>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4</w:t>
      </w:r>
    </w:p>
    <w:p>
      <w:pPr>
        <w:widowControl w:val="0"/>
        <w:autoSpaceDE w:val="0"/>
        <w:autoSpaceDN w:val="0"/>
        <w:spacing w:after="0" w:line="240" w:lineRule="auto"/>
        <w:jc w:val="center"/>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xml:space="preserve">ХАРАКТЕРИСТИКИ РЭС ЛЮБИТЕЛЬСКОЙ СЛУЖБЫ, </w:t>
      </w:r>
      <w:proofErr w:type="gramStart"/>
      <w:r>
        <w:rPr>
          <w:rFonts w:ascii="Calibri" w:eastAsia="Times New Roman" w:hAnsi="Calibri" w:cs="Calibri"/>
          <w:szCs w:val="20"/>
          <w:lang w:eastAsia="ru-RU"/>
        </w:rPr>
        <w:t>ИСПОЛЬЗУЕМЫХ</w:t>
      </w:r>
      <w:proofErr w:type="gramEnd"/>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ДЛЯ ПЕРЕДАЧИ ДАННЫХ, АУДИОВИЗУАЛЬНЫХ И РЕЧЕВЫХ СООБЩЕНИЙ</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В ЦИФРОВОМ ВИДЕ</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421"/>
        <w:gridCol w:w="1378"/>
        <w:gridCol w:w="1373"/>
        <w:gridCol w:w="1304"/>
        <w:gridCol w:w="1304"/>
      </w:tblGrid>
      <w:tr>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Полосы радиочастот</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1840 - 2000;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3600 - 3800;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7050 - 7200 кГц</w:t>
            </w:r>
          </w:p>
        </w:tc>
        <w:tc>
          <w:tcPr>
            <w:tcW w:w="142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14101 - 14350;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18111 - 18168;</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21110 - 21120;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21151 - 21450;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24931 - 24990;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28225 - 29700 кГц</w:t>
            </w:r>
          </w:p>
        </w:tc>
        <w:tc>
          <w:tcPr>
            <w:tcW w:w="137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144,15 - 144,399;</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144,5 - 146,0 МГц</w:t>
            </w:r>
          </w:p>
        </w:tc>
        <w:tc>
          <w:tcPr>
            <w:tcW w:w="1373"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430,0 - 432,0;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432,1 - 432,4;</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432,5 - 440,0 МГц</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1,26 - 1,3 ГГц</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5,65 - 5,67;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5,725 - 5,85;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10,0 - 10,5;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24,0 - 24,25;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47,0 - 47,2;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76,0 - 78,0;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122,25 - 123,0;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134,0 - 141,0;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241,0 - 250,0 ГГц</w:t>
            </w:r>
          </w:p>
        </w:tc>
      </w:tr>
      <w:tr>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tc>
        <w:tc>
          <w:tcPr>
            <w:tcW w:w="142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2K40J2D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tc>
        <w:tc>
          <w:tcPr>
            <w:tcW w:w="137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2K40J2D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5K76G1E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7K60F1D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8K10F1E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11K0F1D</w:t>
            </w:r>
          </w:p>
        </w:tc>
        <w:tc>
          <w:tcPr>
            <w:tcW w:w="1373"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2K70G1D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6K00F7D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7K60D1W</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7K60F1D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11K0F1D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16K0D1D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16K0D2D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150KF1W</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2M00G7W</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2K70G1D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6K00F7D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16K0D1D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150KF1W</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2M50G7W</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2K70G1D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6K00F7D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16K0D1D</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150KF1W</w:t>
            </w:r>
          </w:p>
          <w:p>
            <w:pPr>
              <w:widowControl w:val="0"/>
              <w:autoSpaceDE w:val="0"/>
              <w:autoSpaceDN w:val="0"/>
              <w:spacing w:after="0" w:line="240" w:lineRule="auto"/>
              <w:jc w:val="center"/>
              <w:rPr>
                <w:rFonts w:ascii="Calibri" w:eastAsia="Times New Roman" w:hAnsi="Calibri" w:cs="Calibri"/>
                <w:szCs w:val="20"/>
                <w:lang w:val="en-US" w:eastAsia="ru-RU"/>
              </w:rPr>
            </w:pPr>
            <w:r>
              <w:rPr>
                <w:rFonts w:ascii="Calibri" w:eastAsia="Times New Roman" w:hAnsi="Calibri" w:cs="Calibri"/>
                <w:szCs w:val="20"/>
                <w:lang w:val="en-US" w:eastAsia="ru-RU"/>
              </w:rPr>
              <w:t>10M5G7W</w:t>
            </w:r>
          </w:p>
        </w:tc>
      </w:tr>
      <w:tr>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Допустимое отклонение частоты, не более</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x 10</w:t>
            </w:r>
            <w:r>
              <w:rPr>
                <w:rFonts w:ascii="Calibri" w:eastAsia="Times New Roman" w:hAnsi="Calibri" w:cs="Calibri"/>
                <w:szCs w:val="20"/>
                <w:vertAlign w:val="superscript"/>
                <w:lang w:eastAsia="ru-RU"/>
              </w:rPr>
              <w:t>-6</w:t>
            </w:r>
          </w:p>
        </w:tc>
        <w:tc>
          <w:tcPr>
            <w:tcW w:w="142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137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1373"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 x 10</w:t>
            </w:r>
            <w:r>
              <w:rPr>
                <w:rFonts w:ascii="Calibri" w:eastAsia="Times New Roman" w:hAnsi="Calibri" w:cs="Calibri"/>
                <w:szCs w:val="20"/>
                <w:vertAlign w:val="superscript"/>
                <w:lang w:eastAsia="ru-RU"/>
              </w:rPr>
              <w:t>-6</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300 x 10</w:t>
            </w:r>
            <w:r>
              <w:rPr>
                <w:rFonts w:ascii="Calibri" w:eastAsia="Times New Roman" w:hAnsi="Calibri" w:cs="Calibri"/>
                <w:szCs w:val="20"/>
                <w:vertAlign w:val="superscript"/>
                <w:lang w:eastAsia="ru-RU"/>
              </w:rPr>
              <w:t>-6</w:t>
            </w:r>
          </w:p>
        </w:tc>
        <w:tc>
          <w:tcPr>
            <w:tcW w:w="130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300 x 10</w:t>
            </w:r>
            <w:r>
              <w:rPr>
                <w:rFonts w:ascii="Calibri" w:eastAsia="Times New Roman" w:hAnsi="Calibri" w:cs="Calibri"/>
                <w:szCs w:val="20"/>
                <w:vertAlign w:val="superscript"/>
                <w:lang w:eastAsia="ru-RU"/>
              </w:rPr>
              <w:t>-6</w:t>
            </w:r>
          </w:p>
        </w:tc>
      </w:tr>
    </w:tbl>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5</w:t>
      </w:r>
    </w:p>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ХАРАКТЕРИСТИКИ РЭС ЛЮБИТЕЛЬСКОЙ СЛУЖБЫ,</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ИСПОЛЬЗУЕМЫХ ДЛЯ ПРОВЕДЕНИЯ ЭКСПЕРИМЕНТАЛЬНЫХ РАДИОСВЯЗЕЙ</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С ИСПОЛЬЗОВАНИЕМ ЛУНЫ В КАЧЕСТВЕ ПАССИВНОГО РЕТРАНСЛЯТОРА</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ИЛИ ДЛЯ ПРОВЕДЕНИЯ ЭКСПЕРИМЕНТАЛЬНЫХ РАДИОСВЯЗЕЙ</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С ИСПОЛЬЗОВАНИЕМ ОТРАЖЕНИЯ РАДИОСИГНАЛОВ ОТ СЛЕДОВ МЕТЕОРОВ</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44"/>
        <w:gridCol w:w="1450"/>
        <w:gridCol w:w="1310"/>
        <w:gridCol w:w="1392"/>
        <w:gridCol w:w="1701"/>
      </w:tblGrid>
      <w:tr>
        <w:tc>
          <w:tcPr>
            <w:tcW w:w="153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Диапазон радиочастот</w:t>
            </w:r>
          </w:p>
        </w:tc>
        <w:tc>
          <w:tcPr>
            <w:tcW w:w="164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144,025 - 144,165; 144,180 - 144,399;</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432 - 432,5;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434 - 434,025 МГц</w:t>
            </w:r>
          </w:p>
        </w:tc>
        <w:tc>
          <w:tcPr>
            <w:tcW w:w="145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1296 - 1296,15;</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2320 - 2320,15 МГц</w:t>
            </w:r>
          </w:p>
        </w:tc>
        <w:tc>
          <w:tcPr>
            <w:tcW w:w="131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5760 - 5762;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10368 - 10370 МГц</w:t>
            </w:r>
          </w:p>
        </w:tc>
        <w:tc>
          <w:tcPr>
            <w:tcW w:w="1392"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24048 - 24050;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47000 - 47002;</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47088 - 47090 МГц</w:t>
            </w:r>
          </w:p>
        </w:tc>
        <w:tc>
          <w:tcPr>
            <w:tcW w:w="170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77500 - 77501;</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122250 - 122251;</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134000 - 134001;</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148000 - 248001 МГц</w:t>
            </w:r>
          </w:p>
        </w:tc>
      </w:tr>
      <w:tr>
        <w:tc>
          <w:tcPr>
            <w:tcW w:w="153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w:t>
            </w:r>
          </w:p>
        </w:tc>
        <w:tc>
          <w:tcPr>
            <w:tcW w:w="164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50H0J2A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1K80F1B</w:t>
            </w:r>
          </w:p>
        </w:tc>
        <w:tc>
          <w:tcPr>
            <w:tcW w:w="145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50H0J2A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1K80F1B</w:t>
            </w:r>
          </w:p>
        </w:tc>
        <w:tc>
          <w:tcPr>
            <w:tcW w:w="131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50H0A1А</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50H0J2A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1K80F1B</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1K50J2D</w:t>
            </w:r>
          </w:p>
        </w:tc>
        <w:tc>
          <w:tcPr>
            <w:tcW w:w="1392"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50H0J2A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1K80F1B</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2K00J2D</w:t>
            </w:r>
          </w:p>
        </w:tc>
        <w:tc>
          <w:tcPr>
            <w:tcW w:w="170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50H0J2A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1K80F1B</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2K40J2D</w:t>
            </w:r>
          </w:p>
        </w:tc>
      </w:tr>
      <w:tr>
        <w:tc>
          <w:tcPr>
            <w:tcW w:w="153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xml:space="preserve">Мощность передатчика, </w:t>
            </w:r>
            <w:r>
              <w:rPr>
                <w:rFonts w:ascii="Calibri" w:eastAsia="Times New Roman" w:hAnsi="Calibri" w:cs="Calibri"/>
                <w:szCs w:val="20"/>
                <w:lang w:eastAsia="ru-RU"/>
              </w:rPr>
              <w:lastRenderedPageBreak/>
              <w:t>не более (</w:t>
            </w:r>
            <w:proofErr w:type="spellStart"/>
            <w:r>
              <w:rPr>
                <w:rFonts w:ascii="Calibri" w:eastAsia="Times New Roman" w:hAnsi="Calibri" w:cs="Calibri"/>
                <w:szCs w:val="20"/>
                <w:lang w:eastAsia="ru-RU"/>
              </w:rPr>
              <w:t>дБВт</w:t>
            </w:r>
            <w:proofErr w:type="spellEnd"/>
            <w:r>
              <w:rPr>
                <w:rFonts w:ascii="Calibri" w:eastAsia="Times New Roman" w:hAnsi="Calibri" w:cs="Calibri"/>
                <w:szCs w:val="20"/>
                <w:lang w:eastAsia="ru-RU"/>
              </w:rPr>
              <w:t>)</w:t>
            </w:r>
          </w:p>
        </w:tc>
        <w:tc>
          <w:tcPr>
            <w:tcW w:w="164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31,7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(1500 Вт)</w:t>
            </w:r>
          </w:p>
        </w:tc>
        <w:tc>
          <w:tcPr>
            <w:tcW w:w="145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31,7</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(1500 Вт)</w:t>
            </w:r>
          </w:p>
        </w:tc>
        <w:tc>
          <w:tcPr>
            <w:tcW w:w="1310"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Вт)</w:t>
            </w:r>
          </w:p>
        </w:tc>
        <w:tc>
          <w:tcPr>
            <w:tcW w:w="1392"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Вт)</w:t>
            </w:r>
          </w:p>
        </w:tc>
        <w:tc>
          <w:tcPr>
            <w:tcW w:w="170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 Вт)</w:t>
            </w:r>
          </w:p>
        </w:tc>
      </w:tr>
    </w:tbl>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6</w:t>
      </w:r>
    </w:p>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ПИКОВАЯ МОЩНОСТЬ ПЕРЕДАТЧИКА (</w:t>
      </w:r>
      <w:proofErr w:type="gramStart"/>
      <w:r>
        <w:rPr>
          <w:rFonts w:ascii="Calibri" w:eastAsia="Times New Roman" w:hAnsi="Calibri" w:cs="Calibri"/>
          <w:szCs w:val="20"/>
          <w:lang w:eastAsia="ru-RU"/>
        </w:rPr>
        <w:t>ВТ</w:t>
      </w:r>
      <w:proofErr w:type="gramEnd"/>
      <w:r>
        <w:rPr>
          <w:rFonts w:ascii="Calibri" w:eastAsia="Times New Roman" w:hAnsi="Calibri" w:cs="Calibri"/>
          <w:szCs w:val="20"/>
          <w:lang w:eastAsia="ru-RU"/>
        </w:rPr>
        <w:t>) РЕТРАНСЛЯТОРОВ</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И РАДИОМАЯКОВ ЛЮБИТЕЛЬСКОЙ СЛУЖБЫ, РЭС СПОРТИВНОЙ</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РАДИОПЕЛЕНГАЦИИ И РАДИОМНОГОБОРЬЯ, НЕ БОЛЕЕ</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416"/>
        <w:gridCol w:w="1416"/>
        <w:gridCol w:w="1277"/>
        <w:gridCol w:w="1587"/>
      </w:tblGrid>
      <w:tr>
        <w:tc>
          <w:tcPr>
            <w:tcW w:w="3231" w:type="dxa"/>
            <w:tcBorders>
              <w:top w:val="single" w:sz="4" w:space="0" w:color="auto"/>
              <w:bottom w:val="nil"/>
            </w:tcBorders>
            <w:vAlign w:val="center"/>
          </w:tcPr>
          <w:p>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Диапазоны</w:t>
            </w:r>
          </w:p>
          <w:p>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радиочастот &lt;1&gt;</w:t>
            </w:r>
          </w:p>
        </w:tc>
        <w:tc>
          <w:tcPr>
            <w:tcW w:w="1416"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1,810 - 2 МГц</w:t>
            </w:r>
          </w:p>
        </w:tc>
        <w:tc>
          <w:tcPr>
            <w:tcW w:w="1416"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3,5 - 29,7 МГц</w:t>
            </w:r>
          </w:p>
        </w:tc>
        <w:tc>
          <w:tcPr>
            <w:tcW w:w="1277"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144 - 146 МГц</w:t>
            </w:r>
          </w:p>
        </w:tc>
        <w:tc>
          <w:tcPr>
            <w:tcW w:w="1587"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0,43 - 250 ГГц</w:t>
            </w:r>
          </w:p>
        </w:tc>
      </w:tr>
      <w:tr>
        <w:tblPrEx>
          <w:tblBorders>
            <w:insideH w:val="single" w:sz="4" w:space="0" w:color="auto"/>
          </w:tblBorders>
        </w:tblPrEx>
        <w:tc>
          <w:tcPr>
            <w:tcW w:w="3231" w:type="dxa"/>
            <w:tcBorders>
              <w:top w:val="nil"/>
            </w:tcBorders>
          </w:tcPr>
          <w:p>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Тип РЭС</w:t>
            </w:r>
          </w:p>
        </w:tc>
        <w:tc>
          <w:tcPr>
            <w:tcW w:w="1416" w:type="dxa"/>
            <w:vMerge/>
          </w:tcPr>
          <w:p>
            <w:pPr>
              <w:rPr>
                <w:rFonts w:ascii="Calibri" w:eastAsia="Times New Roman" w:hAnsi="Calibri" w:cs="Times New Roman"/>
              </w:rPr>
            </w:pPr>
          </w:p>
        </w:tc>
        <w:tc>
          <w:tcPr>
            <w:tcW w:w="1416" w:type="dxa"/>
            <w:vMerge/>
          </w:tcPr>
          <w:p>
            <w:pPr>
              <w:rPr>
                <w:rFonts w:ascii="Calibri" w:eastAsia="Times New Roman" w:hAnsi="Calibri" w:cs="Times New Roman"/>
              </w:rPr>
            </w:pPr>
          </w:p>
        </w:tc>
        <w:tc>
          <w:tcPr>
            <w:tcW w:w="1277" w:type="dxa"/>
            <w:vMerge/>
          </w:tcPr>
          <w:p>
            <w:pPr>
              <w:rPr>
                <w:rFonts w:ascii="Calibri" w:eastAsia="Times New Roman" w:hAnsi="Calibri" w:cs="Times New Roman"/>
              </w:rPr>
            </w:pPr>
          </w:p>
        </w:tc>
        <w:tc>
          <w:tcPr>
            <w:tcW w:w="1587" w:type="dxa"/>
            <w:vMerge/>
          </w:tcPr>
          <w:p>
            <w:pPr>
              <w:rPr>
                <w:rFonts w:ascii="Calibri" w:eastAsia="Times New Roman" w:hAnsi="Calibri" w:cs="Times New Roman"/>
              </w:rPr>
            </w:pPr>
          </w:p>
        </w:tc>
      </w:tr>
      <w:tr>
        <w:tblPrEx>
          <w:tblBorders>
            <w:insideH w:val="single" w:sz="4" w:space="0" w:color="auto"/>
          </w:tblBorders>
        </w:tblPrEx>
        <w:tc>
          <w:tcPr>
            <w:tcW w:w="3231" w:type="dxa"/>
            <w:vAlign w:val="center"/>
          </w:tcPr>
          <w:p>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Ретрансляторы и радиомаяки любительской службы</w:t>
            </w:r>
          </w:p>
        </w:tc>
        <w:tc>
          <w:tcPr>
            <w:tcW w:w="141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41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w:t>
            </w:r>
          </w:p>
        </w:tc>
        <w:tc>
          <w:tcPr>
            <w:tcW w:w="12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50</w:t>
            </w:r>
          </w:p>
        </w:tc>
        <w:tc>
          <w:tcPr>
            <w:tcW w:w="158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w:t>
            </w:r>
          </w:p>
        </w:tc>
      </w:tr>
      <w:tr>
        <w:tblPrEx>
          <w:tblBorders>
            <w:insideH w:val="single" w:sz="4" w:space="0" w:color="auto"/>
          </w:tblBorders>
        </w:tblPrEx>
        <w:tc>
          <w:tcPr>
            <w:tcW w:w="3231" w:type="dxa"/>
            <w:vAlign w:val="center"/>
          </w:tcPr>
          <w:p>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РЭС для спортивной </w:t>
            </w:r>
            <w:proofErr w:type="spellStart"/>
            <w:r>
              <w:rPr>
                <w:rFonts w:ascii="Calibri" w:eastAsia="Times New Roman" w:hAnsi="Calibri" w:cs="Calibri"/>
                <w:szCs w:val="20"/>
                <w:lang w:eastAsia="ru-RU"/>
              </w:rPr>
              <w:t>эадиопеленгации</w:t>
            </w:r>
            <w:proofErr w:type="spellEnd"/>
          </w:p>
        </w:tc>
        <w:tc>
          <w:tcPr>
            <w:tcW w:w="141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w:t>
            </w:r>
          </w:p>
        </w:tc>
        <w:tc>
          <w:tcPr>
            <w:tcW w:w="141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c>
          <w:tcPr>
            <w:tcW w:w="12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c>
          <w:tcPr>
            <w:tcW w:w="158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w:t>
            </w:r>
          </w:p>
        </w:tc>
      </w:tr>
      <w:tr>
        <w:tblPrEx>
          <w:tblBorders>
            <w:insideH w:val="single" w:sz="4" w:space="0" w:color="auto"/>
          </w:tblBorders>
        </w:tblPrEx>
        <w:tc>
          <w:tcPr>
            <w:tcW w:w="3231" w:type="dxa"/>
            <w:vAlign w:val="center"/>
          </w:tcPr>
          <w:p>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РЭС для </w:t>
            </w:r>
            <w:proofErr w:type="spellStart"/>
            <w:r>
              <w:rPr>
                <w:rFonts w:ascii="Calibri" w:eastAsia="Times New Roman" w:hAnsi="Calibri" w:cs="Calibri"/>
                <w:szCs w:val="20"/>
                <w:lang w:eastAsia="ru-RU"/>
              </w:rPr>
              <w:t>радиомногоборья</w:t>
            </w:r>
            <w:proofErr w:type="spellEnd"/>
          </w:p>
        </w:tc>
        <w:tc>
          <w:tcPr>
            <w:tcW w:w="141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c>
          <w:tcPr>
            <w:tcW w:w="1416"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c>
          <w:tcPr>
            <w:tcW w:w="12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c>
          <w:tcPr>
            <w:tcW w:w="158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r>
    </w:tbl>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&lt;1&gt; Полосы радиочастот в соответствии с пунктом 5 настоящего решения ГКРЧ.</w:t>
      </w:r>
    </w:p>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7</w:t>
      </w:r>
    </w:p>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МОЩНОСТЬ &lt;1&gt; ПЕРЕДАТЧИКА (</w:t>
      </w:r>
      <w:proofErr w:type="gramStart"/>
      <w:r>
        <w:rPr>
          <w:rFonts w:ascii="Calibri" w:eastAsia="Times New Roman" w:hAnsi="Calibri" w:cs="Calibri"/>
          <w:szCs w:val="20"/>
          <w:lang w:eastAsia="ru-RU"/>
        </w:rPr>
        <w:t>ВТ</w:t>
      </w:r>
      <w:proofErr w:type="gramEnd"/>
      <w:r>
        <w:rPr>
          <w:rFonts w:ascii="Calibri" w:eastAsia="Times New Roman" w:hAnsi="Calibri" w:cs="Calibri"/>
          <w:szCs w:val="20"/>
          <w:lang w:eastAsia="ru-RU"/>
        </w:rPr>
        <w:t>) СТАНЦИЙ ЛЮБИТЕЛЬСКОЙ СЛУЖБЫ</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&lt;2</w:t>
      </w:r>
      <w:proofErr w:type="gramStart"/>
      <w:r>
        <w:rPr>
          <w:rFonts w:ascii="Calibri" w:eastAsia="Times New Roman" w:hAnsi="Calibri" w:cs="Calibri"/>
          <w:szCs w:val="20"/>
          <w:lang w:eastAsia="ru-RU"/>
        </w:rPr>
        <w:t>&gt; И</w:t>
      </w:r>
      <w:proofErr w:type="gramEnd"/>
      <w:r>
        <w:rPr>
          <w:rFonts w:ascii="Calibri" w:eastAsia="Times New Roman" w:hAnsi="Calibri" w:cs="Calibri"/>
          <w:szCs w:val="20"/>
          <w:lang w:eastAsia="ru-RU"/>
        </w:rPr>
        <w:t xml:space="preserve"> ЗЕМНЫХ СТАНЦИЙ ЛЮБИТЕЛЬСКОЙ СПУТНИКОВОЙ СЛУЖБЫ</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В ЗАВИСИМОСТИ ОТ КАТЕГОРИИ РАДИООПЕРАТОРА, НЕ БОЛЕЕ</w:t>
      </w:r>
    </w:p>
    <w:p>
      <w:pPr>
        <w:widowControl w:val="0"/>
        <w:autoSpaceDE w:val="0"/>
        <w:autoSpaceDN w:val="0"/>
        <w:spacing w:after="0" w:line="240" w:lineRule="auto"/>
        <w:jc w:val="center"/>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&lt;1</w:t>
      </w:r>
      <w:proofErr w:type="gramStart"/>
      <w:r>
        <w:rPr>
          <w:rFonts w:ascii="Calibri" w:eastAsia="Times New Roman" w:hAnsi="Calibri" w:cs="Calibri"/>
          <w:szCs w:val="20"/>
          <w:lang w:eastAsia="ru-RU"/>
        </w:rPr>
        <w:t>&gt; Д</w:t>
      </w:r>
      <w:proofErr w:type="gramEnd"/>
      <w:r>
        <w:rPr>
          <w:rFonts w:ascii="Calibri" w:eastAsia="Times New Roman" w:hAnsi="Calibri" w:cs="Calibri"/>
          <w:szCs w:val="20"/>
          <w:lang w:eastAsia="ru-RU"/>
        </w:rPr>
        <w:t>ля полосы радиочастот 135,7 - 137,8 кГц указана максимальная эффективная изотропно излучаемая мощность, для полосы частот 1810 - 2000 кГц - средняя мощность, для всех полос радиочастот выше 3500 кГц - пиковая мощность.</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&lt;2</w:t>
      </w:r>
      <w:proofErr w:type="gramStart"/>
      <w:r>
        <w:rPr>
          <w:rFonts w:ascii="Calibri" w:eastAsia="Times New Roman" w:hAnsi="Calibri" w:cs="Calibri"/>
          <w:szCs w:val="20"/>
          <w:lang w:eastAsia="ru-RU"/>
        </w:rPr>
        <w:t>&gt; З</w:t>
      </w:r>
      <w:proofErr w:type="gramEnd"/>
      <w:r>
        <w:rPr>
          <w:rFonts w:ascii="Calibri" w:eastAsia="Times New Roman" w:hAnsi="Calibri" w:cs="Calibri"/>
          <w:szCs w:val="20"/>
          <w:lang w:eastAsia="ru-RU"/>
        </w:rPr>
        <w:t>а исключением станций любительской службы, указанных в таблицах 5 и 6.</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361"/>
        <w:gridCol w:w="1247"/>
        <w:gridCol w:w="1134"/>
        <w:gridCol w:w="1191"/>
      </w:tblGrid>
      <w:tr>
        <w:tc>
          <w:tcPr>
            <w:tcW w:w="2551" w:type="dxa"/>
            <w:tcBorders>
              <w:top w:val="single" w:sz="4" w:space="0" w:color="auto"/>
              <w:bottom w:val="nil"/>
            </w:tcBorders>
          </w:tcPr>
          <w:p>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Диапазоны радиочастот &lt;3&gt;</w:t>
            </w:r>
          </w:p>
        </w:tc>
        <w:tc>
          <w:tcPr>
            <w:tcW w:w="1417"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135,7 - 137,8 кГц</w:t>
            </w:r>
          </w:p>
        </w:tc>
        <w:tc>
          <w:tcPr>
            <w:tcW w:w="1361"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1,810 - 2 МГц</w:t>
            </w:r>
          </w:p>
        </w:tc>
        <w:tc>
          <w:tcPr>
            <w:tcW w:w="1247"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3,5 - 29,7 МГц</w:t>
            </w:r>
          </w:p>
        </w:tc>
        <w:tc>
          <w:tcPr>
            <w:tcW w:w="1134"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144 - 146 МГц</w:t>
            </w:r>
          </w:p>
        </w:tc>
        <w:tc>
          <w:tcPr>
            <w:tcW w:w="1191" w:type="dxa"/>
            <w:vMerge w:val="restart"/>
            <w:tcBorders>
              <w:top w:val="single" w:sz="4" w:space="0" w:color="auto"/>
            </w:tcBorders>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0,43 - 250 ГГц</w:t>
            </w:r>
          </w:p>
        </w:tc>
      </w:tr>
      <w:tr>
        <w:tblPrEx>
          <w:tblBorders>
            <w:insideH w:val="single" w:sz="4" w:space="0" w:color="auto"/>
          </w:tblBorders>
        </w:tblPrEx>
        <w:tc>
          <w:tcPr>
            <w:tcW w:w="2551" w:type="dxa"/>
            <w:tcBorders>
              <w:top w:val="nil"/>
            </w:tcBorders>
          </w:tcPr>
          <w:p>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Категория радиооператора</w:t>
            </w:r>
          </w:p>
        </w:tc>
        <w:tc>
          <w:tcPr>
            <w:tcW w:w="1417" w:type="dxa"/>
            <w:vMerge/>
          </w:tcPr>
          <w:p>
            <w:pPr>
              <w:rPr>
                <w:rFonts w:ascii="Calibri" w:eastAsia="Times New Roman" w:hAnsi="Calibri" w:cs="Times New Roman"/>
              </w:rPr>
            </w:pPr>
          </w:p>
        </w:tc>
        <w:tc>
          <w:tcPr>
            <w:tcW w:w="1361" w:type="dxa"/>
            <w:vMerge/>
          </w:tcPr>
          <w:p>
            <w:pPr>
              <w:rPr>
                <w:rFonts w:ascii="Calibri" w:eastAsia="Times New Roman" w:hAnsi="Calibri" w:cs="Times New Roman"/>
              </w:rPr>
            </w:pPr>
          </w:p>
        </w:tc>
        <w:tc>
          <w:tcPr>
            <w:tcW w:w="1247" w:type="dxa"/>
            <w:vMerge/>
          </w:tcPr>
          <w:p>
            <w:pPr>
              <w:rPr>
                <w:rFonts w:ascii="Calibri" w:eastAsia="Times New Roman" w:hAnsi="Calibri" w:cs="Times New Roman"/>
              </w:rPr>
            </w:pPr>
          </w:p>
        </w:tc>
        <w:tc>
          <w:tcPr>
            <w:tcW w:w="1134" w:type="dxa"/>
            <w:vMerge/>
          </w:tcPr>
          <w:p>
            <w:pPr>
              <w:rPr>
                <w:rFonts w:ascii="Calibri" w:eastAsia="Times New Roman" w:hAnsi="Calibri" w:cs="Times New Roman"/>
              </w:rPr>
            </w:pPr>
          </w:p>
        </w:tc>
        <w:tc>
          <w:tcPr>
            <w:tcW w:w="1191" w:type="dxa"/>
            <w:vMerge/>
          </w:tcPr>
          <w:p>
            <w:pPr>
              <w:rPr>
                <w:rFonts w:ascii="Calibri" w:eastAsia="Times New Roman" w:hAnsi="Calibri" w:cs="Times New Roman"/>
              </w:rPr>
            </w:pPr>
          </w:p>
        </w:tc>
      </w:tr>
      <w:tr>
        <w:tblPrEx>
          <w:tblBorders>
            <w:insideH w:val="single" w:sz="4" w:space="0" w:color="auto"/>
          </w:tblBorders>
        </w:tblPrEx>
        <w:tc>
          <w:tcPr>
            <w:tcW w:w="255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 категория</w:t>
            </w:r>
          </w:p>
        </w:tc>
        <w:tc>
          <w:tcPr>
            <w:tcW w:w="141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w:t>
            </w:r>
          </w:p>
        </w:tc>
        <w:tc>
          <w:tcPr>
            <w:tcW w:w="136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c>
          <w:tcPr>
            <w:tcW w:w="119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w:t>
            </w:r>
          </w:p>
        </w:tc>
      </w:tr>
      <w:tr>
        <w:tblPrEx>
          <w:tblBorders>
            <w:insideH w:val="single" w:sz="4" w:space="0" w:color="auto"/>
          </w:tblBorders>
        </w:tblPrEx>
        <w:tc>
          <w:tcPr>
            <w:tcW w:w="255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 категория и CEPT NOVICE</w:t>
            </w:r>
          </w:p>
        </w:tc>
        <w:tc>
          <w:tcPr>
            <w:tcW w:w="141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p>
        </w:tc>
        <w:tc>
          <w:tcPr>
            <w:tcW w:w="136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19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r>
      <w:tr>
        <w:tblPrEx>
          <w:tblBorders>
            <w:insideH w:val="single" w:sz="4" w:space="0" w:color="auto"/>
          </w:tblBorders>
        </w:tblPrEx>
        <w:tc>
          <w:tcPr>
            <w:tcW w:w="255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 2 категория и CEPT</w:t>
            </w:r>
          </w:p>
        </w:tc>
        <w:tc>
          <w:tcPr>
            <w:tcW w:w="141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p>
        </w:tc>
        <w:tc>
          <w:tcPr>
            <w:tcW w:w="136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 &lt;4&gt;</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100</w:t>
            </w:r>
          </w:p>
        </w:tc>
        <w:tc>
          <w:tcPr>
            <w:tcW w:w="1191"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 &lt;4&gt;</w:t>
            </w:r>
          </w:p>
        </w:tc>
      </w:tr>
    </w:tbl>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lastRenderedPageBreak/>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&lt;3&gt; Полосы радиочастот в соответствии с пунктами 1, 2 (для станций любительской службы) и 3, 4 (для земных станций любительской спутниковой службы) настоящего решения ГКРЧ.</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&lt;4</w:t>
      </w:r>
      <w:proofErr w:type="gramStart"/>
      <w:r>
        <w:rPr>
          <w:rFonts w:ascii="Calibri" w:eastAsia="Times New Roman" w:hAnsi="Calibri" w:cs="Calibri"/>
          <w:szCs w:val="20"/>
          <w:lang w:eastAsia="ru-RU"/>
        </w:rPr>
        <w:t>&gt; В</w:t>
      </w:r>
      <w:proofErr w:type="gramEnd"/>
      <w:r>
        <w:rPr>
          <w:rFonts w:ascii="Calibri" w:eastAsia="Times New Roman" w:hAnsi="Calibri" w:cs="Calibri"/>
          <w:szCs w:val="20"/>
          <w:lang w:eastAsia="ru-RU"/>
        </w:rPr>
        <w:t xml:space="preserve"> период проведения спортивных соревнований допустимая пиковая мощность радиостанций составляет 500 Вт в полосе радиочастот 1810 - 1950 кГц и 100 Вт в полосах радиочастот 432,000 - 432,400 МГц; 433,600 - 434,000 МГц и 1296,000 - 1296,800 МГц.</w:t>
      </w:r>
    </w:p>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8</w:t>
      </w:r>
    </w:p>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РЭС ЛЮБИТЕЛЬСКОЙ СПУТНИКОВОЙ СЛУЖБЫ, НАПРАВЛЕНИЕ</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ЗЕМЛЯ - КОСМОС</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34"/>
        <w:gridCol w:w="1247"/>
        <w:gridCol w:w="1247"/>
        <w:gridCol w:w="1247"/>
        <w:gridCol w:w="1162"/>
        <w:gridCol w:w="1229"/>
      </w:tblGrid>
      <w:tr>
        <w:tc>
          <w:tcPr>
            <w:tcW w:w="175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Диапазоны радиочастот &lt;1&gt;</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7 - 29,7 МГц</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144 - 438 МГц</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1260 - 2450 МГц</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5,65 - 10,5 ГГц</w:t>
            </w:r>
          </w:p>
        </w:tc>
        <w:tc>
          <w:tcPr>
            <w:tcW w:w="1162"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24 - 47,2 ГГц</w:t>
            </w:r>
          </w:p>
        </w:tc>
        <w:tc>
          <w:tcPr>
            <w:tcW w:w="1229"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76 - 250 ГГц</w:t>
            </w:r>
          </w:p>
        </w:tc>
      </w:tr>
      <w:tr>
        <w:tc>
          <w:tcPr>
            <w:tcW w:w="175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 при использовании кода Морзе и узкополосных сигналов</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162"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229"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r>
      <w:tr>
        <w:tc>
          <w:tcPr>
            <w:tcW w:w="175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 при передаче речевых сообщений в аналоговом виде, а также при передаче данных, мультимедиа и речевых сообщений в цифровом виде</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8K00F3E &lt;2&gt;</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5K76G1E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8K10F1E 16K0F3E</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350KF1D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2M50G7W</w:t>
            </w:r>
          </w:p>
        </w:tc>
        <w:tc>
          <w:tcPr>
            <w:tcW w:w="124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 350KF1D 10M0G7W</w:t>
            </w:r>
          </w:p>
        </w:tc>
        <w:tc>
          <w:tcPr>
            <w:tcW w:w="1162"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 350KF1D 10M0G7W</w:t>
            </w:r>
          </w:p>
        </w:tc>
        <w:tc>
          <w:tcPr>
            <w:tcW w:w="1229"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350KF1D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10M0G7W</w:t>
            </w:r>
          </w:p>
        </w:tc>
      </w:tr>
    </w:tbl>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&lt;1&gt; Полосы радиочастот в соответствии с пунктами 3 и 4 настоящего решения ГКРЧ.</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&lt;2</w:t>
      </w:r>
      <w:proofErr w:type="gramStart"/>
      <w:r>
        <w:rPr>
          <w:rFonts w:ascii="Calibri" w:eastAsia="Times New Roman" w:hAnsi="Calibri" w:cs="Calibri"/>
          <w:szCs w:val="20"/>
          <w:lang w:eastAsia="ru-RU"/>
        </w:rPr>
        <w:t>&gt; Т</w:t>
      </w:r>
      <w:proofErr w:type="gramEnd"/>
      <w:r>
        <w:rPr>
          <w:rFonts w:ascii="Calibri" w:eastAsia="Times New Roman" w:hAnsi="Calibri" w:cs="Calibri"/>
          <w:szCs w:val="20"/>
          <w:lang w:eastAsia="ru-RU"/>
        </w:rPr>
        <w:t>олько на радиочастотах выше 28 МГц.</w:t>
      </w:r>
    </w:p>
    <w:p>
      <w:pPr>
        <w:widowControl w:val="0"/>
        <w:autoSpaceDE w:val="0"/>
        <w:autoSpaceDN w:val="0"/>
        <w:spacing w:after="0" w:line="240" w:lineRule="auto"/>
        <w:jc w:val="right"/>
        <w:rPr>
          <w:rFonts w:ascii="Calibri" w:eastAsia="Times New Roman" w:hAnsi="Calibri" w:cs="Calibri"/>
          <w:szCs w:val="20"/>
          <w:lang w:eastAsia="ru-RU"/>
        </w:rPr>
      </w:pPr>
    </w:p>
    <w:p>
      <w:pPr>
        <w:widowControl w:val="0"/>
        <w:autoSpaceDE w:val="0"/>
        <w:autoSpaceDN w:val="0"/>
        <w:spacing w:after="0" w:line="240" w:lineRule="auto"/>
        <w:jc w:val="right"/>
        <w:outlineLvl w:val="2"/>
        <w:rPr>
          <w:rFonts w:ascii="Calibri" w:eastAsia="Times New Roman" w:hAnsi="Calibri" w:cs="Calibri"/>
          <w:szCs w:val="20"/>
          <w:lang w:eastAsia="ru-RU"/>
        </w:rPr>
      </w:pPr>
      <w:r>
        <w:rPr>
          <w:rFonts w:ascii="Calibri" w:eastAsia="Times New Roman" w:hAnsi="Calibri" w:cs="Calibri"/>
          <w:szCs w:val="20"/>
          <w:lang w:eastAsia="ru-RU"/>
        </w:rPr>
        <w:t>Таблица N 9</w:t>
      </w:r>
    </w:p>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РЭС ЛЮБИТЕЛЬСКОЙ СПУТНИКОВОЙ СЛУЖБЫ,</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НАПРАВЛЕНИЕ КОСМОС - ЗЕМЛЯ</w:t>
      </w:r>
    </w:p>
    <w:p>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1128"/>
        <w:gridCol w:w="1134"/>
        <w:gridCol w:w="1234"/>
        <w:gridCol w:w="1134"/>
        <w:gridCol w:w="1077"/>
      </w:tblGrid>
      <w:tr>
        <w:tc>
          <w:tcPr>
            <w:tcW w:w="215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Диапазоны радиочастот &lt;1&gt;</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7 - 29,7 МГц</w:t>
            </w:r>
          </w:p>
        </w:tc>
        <w:tc>
          <w:tcPr>
            <w:tcW w:w="11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144 - 438 МГц</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2400 - 2450 МГц</w:t>
            </w:r>
          </w:p>
        </w:tc>
        <w:tc>
          <w:tcPr>
            <w:tcW w:w="12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5,83 - 10,5 ГГц</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24 - 47,2 ГГц</w:t>
            </w:r>
          </w:p>
        </w:tc>
        <w:tc>
          <w:tcPr>
            <w:tcW w:w="10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76 - 250 ГГц</w:t>
            </w:r>
          </w:p>
        </w:tc>
      </w:tr>
      <w:tr>
        <w:tc>
          <w:tcPr>
            <w:tcW w:w="215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Допустимые классы излучения при использовании кода Морзе и узкополосных сигналов</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1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2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c>
          <w:tcPr>
            <w:tcW w:w="10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150HA1A</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150HJ2A</w:t>
            </w:r>
          </w:p>
        </w:tc>
      </w:tr>
      <w:tr>
        <w:tc>
          <w:tcPr>
            <w:tcW w:w="215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Допустимые классы излучения при передаче речевых сообщений в аналоговом виде, а также при передаче данных, мультимедиа и речевых сообщений в цифровом виде</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8K00F3E &lt;2&gt;</w:t>
            </w:r>
          </w:p>
        </w:tc>
        <w:tc>
          <w:tcPr>
            <w:tcW w:w="11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350KF1D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2M50G7W</w:t>
            </w:r>
          </w:p>
        </w:tc>
        <w:tc>
          <w:tcPr>
            <w:tcW w:w="12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350KF1D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10M5G7W</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350KF1D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10M0G7W</w:t>
            </w:r>
          </w:p>
        </w:tc>
        <w:tc>
          <w:tcPr>
            <w:tcW w:w="10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2K70J2E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16K0F3E</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44K2F1D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88K3F1D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350KF1D</w:t>
            </w:r>
          </w:p>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10M0G7W</w:t>
            </w:r>
          </w:p>
        </w:tc>
      </w:tr>
      <w:tr>
        <w:tc>
          <w:tcPr>
            <w:tcW w:w="215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Мощность передатчика для РЭС низкоорбитальных космических аппаратов, не более (</w:t>
            </w:r>
            <w:proofErr w:type="spellStart"/>
            <w:r>
              <w:rPr>
                <w:rFonts w:ascii="Calibri" w:eastAsia="Times New Roman" w:hAnsi="Calibri" w:cs="Calibri"/>
                <w:szCs w:val="20"/>
                <w:lang w:eastAsia="ru-RU"/>
              </w:rPr>
              <w:t>дБВт</w:t>
            </w:r>
            <w:proofErr w:type="spellEnd"/>
            <w:r>
              <w:rPr>
                <w:rFonts w:ascii="Calibri" w:eastAsia="Times New Roman" w:hAnsi="Calibri" w:cs="Calibri"/>
                <w:szCs w:val="20"/>
                <w:lang w:eastAsia="ru-RU"/>
              </w:rPr>
              <w:t>)</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1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17</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2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0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r>
      <w:tr>
        <w:tc>
          <w:tcPr>
            <w:tcW w:w="215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Мощность передатчика для РЭС высокоорбитальных и геостационарных космических аппаратов, не более (</w:t>
            </w:r>
            <w:proofErr w:type="spellStart"/>
            <w:r>
              <w:rPr>
                <w:rFonts w:ascii="Calibri" w:eastAsia="Times New Roman" w:hAnsi="Calibri" w:cs="Calibri"/>
                <w:szCs w:val="20"/>
                <w:lang w:eastAsia="ru-RU"/>
              </w:rPr>
              <w:t>дБВт</w:t>
            </w:r>
            <w:proofErr w:type="spellEnd"/>
            <w:r>
              <w:rPr>
                <w:rFonts w:ascii="Calibri" w:eastAsia="Times New Roman" w:hAnsi="Calibri" w:cs="Calibri"/>
                <w:szCs w:val="20"/>
                <w:lang w:eastAsia="ru-RU"/>
              </w:rPr>
              <w:t>)</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c>
          <w:tcPr>
            <w:tcW w:w="11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w:t>
            </w:r>
          </w:p>
        </w:tc>
        <w:tc>
          <w:tcPr>
            <w:tcW w:w="12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17</w:t>
            </w:r>
          </w:p>
        </w:tc>
        <w:tc>
          <w:tcPr>
            <w:tcW w:w="10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10</w:t>
            </w:r>
          </w:p>
        </w:tc>
      </w:tr>
      <w:tr>
        <w:tc>
          <w:tcPr>
            <w:tcW w:w="215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Плотность потока мощности излучения у поверхности Земли, не более (</w:t>
            </w:r>
            <w:proofErr w:type="spellStart"/>
            <w:r>
              <w:rPr>
                <w:rFonts w:ascii="Calibri" w:eastAsia="Times New Roman" w:hAnsi="Calibri" w:cs="Calibri"/>
                <w:szCs w:val="20"/>
                <w:lang w:eastAsia="ru-RU"/>
              </w:rPr>
              <w:t>дБВт</w:t>
            </w:r>
            <w:proofErr w:type="spellEnd"/>
            <w:r>
              <w:rPr>
                <w:rFonts w:ascii="Calibri" w:eastAsia="Times New Roman" w:hAnsi="Calibri" w:cs="Calibri"/>
                <w:szCs w:val="20"/>
                <w:lang w:eastAsia="ru-RU"/>
              </w:rPr>
              <w:t>/м</w:t>
            </w:r>
            <w:proofErr w:type="gramStart"/>
            <w:r>
              <w:rPr>
                <w:rFonts w:ascii="Calibri" w:eastAsia="Times New Roman" w:hAnsi="Calibri" w:cs="Calibri"/>
                <w:szCs w:val="20"/>
                <w:lang w:eastAsia="ru-RU"/>
              </w:rPr>
              <w:t>2</w:t>
            </w:r>
            <w:proofErr w:type="gramEnd"/>
            <w:r>
              <w:rPr>
                <w:rFonts w:ascii="Calibri" w:eastAsia="Times New Roman" w:hAnsi="Calibri" w:cs="Calibri"/>
                <w:szCs w:val="20"/>
                <w:lang w:eastAsia="ru-RU"/>
              </w:rPr>
              <w:t>)</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- 110</w:t>
            </w:r>
          </w:p>
        </w:tc>
        <w:tc>
          <w:tcPr>
            <w:tcW w:w="1128"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- 110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- 110</w:t>
            </w:r>
          </w:p>
        </w:tc>
        <w:tc>
          <w:tcPr>
            <w:tcW w:w="12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- 110</w:t>
            </w:r>
          </w:p>
        </w:tc>
        <w:tc>
          <w:tcPr>
            <w:tcW w:w="1134"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- 110</w:t>
            </w:r>
          </w:p>
        </w:tc>
        <w:tc>
          <w:tcPr>
            <w:tcW w:w="1077" w:type="dxa"/>
            <w:vAlign w:val="center"/>
          </w:tcPr>
          <w:p>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- 110</w:t>
            </w:r>
          </w:p>
        </w:tc>
      </w:tr>
    </w:tbl>
    <w:p>
      <w:pPr>
        <w:widowControl w:val="0"/>
        <w:autoSpaceDE w:val="0"/>
        <w:autoSpaceDN w:val="0"/>
        <w:spacing w:after="0" w:line="240" w:lineRule="auto"/>
        <w:ind w:firstLine="540"/>
        <w:jc w:val="both"/>
        <w:rPr>
          <w:rFonts w:ascii="Calibri" w:eastAsia="Times New Roman" w:hAnsi="Calibri" w:cs="Calibri"/>
          <w:szCs w:val="20"/>
          <w:lang w:eastAsia="ru-RU"/>
        </w:rPr>
      </w:pPr>
    </w:p>
    <w:p>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&lt;1&gt; Полосы радиочастот в соответствии с пунктами 3 и 4 настоящего решения ГКРЧ.</w:t>
      </w:r>
    </w:p>
    <w:p>
      <w:pPr>
        <w:widowControl w:val="0"/>
        <w:autoSpaceDE w:val="0"/>
        <w:autoSpaceDN w:val="0"/>
        <w:spacing w:before="220"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&lt;2</w:t>
      </w:r>
      <w:proofErr w:type="gramStart"/>
      <w:r>
        <w:rPr>
          <w:rFonts w:ascii="Calibri" w:eastAsia="Times New Roman" w:hAnsi="Calibri" w:cs="Calibri"/>
          <w:szCs w:val="20"/>
          <w:lang w:eastAsia="ru-RU"/>
        </w:rPr>
        <w:t>&gt; Т</w:t>
      </w:r>
      <w:proofErr w:type="gramEnd"/>
      <w:r>
        <w:rPr>
          <w:rFonts w:ascii="Calibri" w:eastAsia="Times New Roman" w:hAnsi="Calibri" w:cs="Calibri"/>
          <w:szCs w:val="20"/>
          <w:lang w:eastAsia="ru-RU"/>
        </w:rPr>
        <w:t>олько на радиочастотах выше 28 МГц.</w:t>
      </w:r>
    </w:p>
    <w:p>
      <w:pPr>
        <w:rPr>
          <w:rFonts w:ascii="Times New Roman" w:hAnsi="Times New Roman" w:cs="Times New Roman"/>
          <w:sz w:val="28"/>
          <w:szCs w:val="28"/>
        </w:rPr>
      </w:pPr>
    </w:p>
    <w:sectPr>
      <w:headerReference w:type="even" r:id="rId10"/>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93782"/>
    <w:multiLevelType w:val="hybridMultilevel"/>
    <w:tmpl w:val="49383E80"/>
    <w:lvl w:ilvl="0" w:tplc="91F4B866">
      <w:start w:val="1"/>
      <w:numFmt w:val="decimal"/>
      <w:suff w:val="space"/>
      <w:lvlText w:val="%1."/>
      <w:lvlJc w:val="left"/>
      <w:pPr>
        <w:ind w:left="3557" w:hanging="1005"/>
      </w:pPr>
      <w:rPr>
        <w:rFonts w:ascii="Times New Roman" w:hAnsi="Times New Roman" w:cs="Times New Roman" w:hint="default"/>
        <w:caps w:val="0"/>
        <w:strike w:val="0"/>
        <w:dstrike w:val="0"/>
        <w:vanish w:val="0"/>
        <w:color w:val="000000"/>
        <w:spacing w:val="0"/>
        <w:w w:val="100"/>
        <w:kern w:val="28"/>
        <w:position w:val="0"/>
        <w:sz w:val="28"/>
        <w:vertAlign w:val="baseline"/>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character" w:styleId="a5">
    <w:name w:val="page number"/>
    <w:uiPriority w:val="99"/>
    <w:rPr>
      <w:rFonts w:cs="Times New Roman"/>
    </w:rPr>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customStyle="1" w:styleId="1">
    <w:name w:val="Обычный1"/>
    <w:pPr>
      <w:spacing w:after="0" w:line="240" w:lineRule="auto"/>
    </w:pPr>
    <w:rPr>
      <w:rFonts w:ascii="TimesDL" w:eastAsia="Times New Roman" w:hAnsi="TimesDL" w:cs="Times New Roman"/>
      <w:sz w:val="24"/>
      <w:szCs w:val="20"/>
      <w:lang w:eastAsia="ru-RU"/>
    </w:rPr>
  </w:style>
  <w:style w:type="table" w:styleId="a8">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semiHidden/>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Pr>
      <w:vertAlign w:val="superscript"/>
    </w:rPr>
  </w:style>
  <w:style w:type="character" w:styleId="ac">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character" w:styleId="a5">
    <w:name w:val="page number"/>
    <w:uiPriority w:val="99"/>
    <w:rPr>
      <w:rFonts w:cs="Times New Roman"/>
    </w:rPr>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customStyle="1" w:styleId="1">
    <w:name w:val="Обычный1"/>
    <w:pPr>
      <w:spacing w:after="0" w:line="240" w:lineRule="auto"/>
    </w:pPr>
    <w:rPr>
      <w:rFonts w:ascii="TimesDL" w:eastAsia="Times New Roman" w:hAnsi="TimesDL" w:cs="Times New Roman"/>
      <w:sz w:val="24"/>
      <w:szCs w:val="20"/>
      <w:lang w:eastAsia="ru-RU"/>
    </w:rPr>
  </w:style>
  <w:style w:type="table" w:styleId="a8">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semiHidden/>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Pr>
      <w:vertAlign w:val="superscript"/>
    </w:rPr>
  </w:style>
  <w:style w:type="character" w:styleId="ac">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Дудукин Сергей Николаевич</dc:creator>
  <cp:lastModifiedBy>Филатов Дмитрий Александрович</cp:lastModifiedBy>
  <cp:revision>3</cp:revision>
  <dcterms:created xsi:type="dcterms:W3CDTF">2020-03-12T13:48:00Z</dcterms:created>
  <dcterms:modified xsi:type="dcterms:W3CDTF">2020-03-13T08:28:00Z</dcterms:modified>
</cp:coreProperties>
</file>